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5F98" w14:textId="77777777" w:rsidR="00F1233C" w:rsidRPr="00F1233C" w:rsidRDefault="00F1233C" w:rsidP="00F1233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it-IT" w:eastAsia="en-GB"/>
        </w:rPr>
      </w:pPr>
      <w:r w:rsidRPr="00F1233C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it-IT" w:eastAsia="en-GB"/>
        </w:rPr>
        <w:t>Il passato prossimo</w:t>
      </w:r>
    </w:p>
    <w:p w14:paraId="4D63009E" w14:textId="70971B22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Il passato prossimo indica un’azione che ha un inizio e una fine nel passato.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  <w:t>Il passato si forma con i verbi ausiliari </w:t>
      </w:r>
      <w:r w:rsidRPr="00F1233C">
        <w:rPr>
          <w:rFonts w:ascii="Tahoma" w:eastAsia="Times New Roman" w:hAnsi="Tahoma" w:cs="Tahoma"/>
          <w:b/>
          <w:bCs/>
          <w:color w:val="000000"/>
          <w:sz w:val="19"/>
          <w:szCs w:val="19"/>
          <w:lang w:val="it-IT" w:eastAsia="en-GB"/>
        </w:rPr>
        <w:t>AVERE o ESSERE + il participio passato del verbo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.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  <w:t>Esempi: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 xml:space="preserve">Ieri ho </w:t>
      </w:r>
      <w:r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mangiato una mela</w:t>
      </w:r>
      <w:r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br/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 xml:space="preserve">La settimana scorsa </w:t>
      </w:r>
      <w:r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Piero è andato in montagna</w:t>
      </w:r>
    </w:p>
    <w:p w14:paraId="6A1B824A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Il participio passato si forma così:</w:t>
      </w:r>
    </w:p>
    <w:p w14:paraId="3C62495E" w14:textId="77777777" w:rsidR="00F1233C" w:rsidRPr="00F1233C" w:rsidRDefault="00F1233C" w:rsidP="00F1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verbi in -are -&gt; </w:t>
      </w:r>
      <w:r w:rsidRPr="00F1233C">
        <w:rPr>
          <w:rFonts w:ascii="Tahoma" w:eastAsia="Times New Roman" w:hAnsi="Tahoma" w:cs="Tahoma"/>
          <w:b/>
          <w:bCs/>
          <w:color w:val="FF0000"/>
          <w:sz w:val="19"/>
          <w:szCs w:val="19"/>
          <w:lang w:val="it-IT" w:eastAsia="en-GB"/>
        </w:rPr>
        <w:t>ATO 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es: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parl</w:t>
      </w:r>
      <w:r w:rsidRPr="00F1233C">
        <w:rPr>
          <w:rFonts w:ascii="Tahoma" w:eastAsia="Times New Roman" w:hAnsi="Tahoma" w:cs="Tahoma"/>
          <w:i/>
          <w:iCs/>
          <w:color w:val="FF0000"/>
          <w:sz w:val="19"/>
          <w:szCs w:val="19"/>
          <w:lang w:val="it-IT" w:eastAsia="en-GB"/>
        </w:rPr>
        <w:t>are -&gt;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parl</w:t>
      </w:r>
      <w:r w:rsidRPr="00F1233C">
        <w:rPr>
          <w:rFonts w:ascii="Tahoma" w:eastAsia="Times New Roman" w:hAnsi="Tahoma" w:cs="Tahoma"/>
          <w:i/>
          <w:iCs/>
          <w:color w:val="FF0000"/>
          <w:sz w:val="19"/>
          <w:szCs w:val="19"/>
          <w:lang w:val="it-IT" w:eastAsia="en-GB"/>
        </w:rPr>
        <w:t>ato</w:t>
      </w:r>
    </w:p>
    <w:p w14:paraId="21A577FD" w14:textId="77777777" w:rsidR="00F1233C" w:rsidRPr="00F1233C" w:rsidRDefault="00F1233C" w:rsidP="00F1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verbi in -ere -&gt; </w:t>
      </w:r>
      <w:r w:rsidRPr="00F1233C">
        <w:rPr>
          <w:rFonts w:ascii="Tahoma" w:eastAsia="Times New Roman" w:hAnsi="Tahoma" w:cs="Tahoma"/>
          <w:b/>
          <w:bCs/>
          <w:color w:val="339966"/>
          <w:sz w:val="19"/>
          <w:szCs w:val="19"/>
          <w:lang w:val="it-IT" w:eastAsia="en-GB"/>
        </w:rPr>
        <w:t>UTO 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es: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ricev</w:t>
      </w:r>
      <w:r w:rsidRPr="00F1233C">
        <w:rPr>
          <w:rFonts w:ascii="Tahoma" w:eastAsia="Times New Roman" w:hAnsi="Tahoma" w:cs="Tahoma"/>
          <w:i/>
          <w:iCs/>
          <w:color w:val="339966"/>
          <w:sz w:val="19"/>
          <w:szCs w:val="19"/>
          <w:lang w:val="it-IT" w:eastAsia="en-GB"/>
        </w:rPr>
        <w:t>ere -&gt;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ricev</w:t>
      </w:r>
      <w:r w:rsidRPr="00F1233C">
        <w:rPr>
          <w:rFonts w:ascii="Tahoma" w:eastAsia="Times New Roman" w:hAnsi="Tahoma" w:cs="Tahoma"/>
          <w:i/>
          <w:iCs/>
          <w:color w:val="339966"/>
          <w:sz w:val="19"/>
          <w:szCs w:val="19"/>
          <w:lang w:val="it-IT" w:eastAsia="en-GB"/>
        </w:rPr>
        <w:t>uto</w:t>
      </w:r>
    </w:p>
    <w:p w14:paraId="63F8DA68" w14:textId="77777777" w:rsidR="00F1233C" w:rsidRPr="00F1233C" w:rsidRDefault="00F1233C" w:rsidP="00F12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verbi in -ire -&gt; </w:t>
      </w:r>
      <w:r w:rsidRPr="00F1233C">
        <w:rPr>
          <w:rFonts w:ascii="Tahoma" w:eastAsia="Times New Roman" w:hAnsi="Tahoma" w:cs="Tahoma"/>
          <w:b/>
          <w:bCs/>
          <w:color w:val="3366FF"/>
          <w:sz w:val="19"/>
          <w:szCs w:val="19"/>
          <w:lang w:val="it-IT" w:eastAsia="en-GB"/>
        </w:rPr>
        <w:t>ITO</w:t>
      </w:r>
      <w:r w:rsidRPr="00F1233C">
        <w:rPr>
          <w:rFonts w:ascii="Tahoma" w:eastAsia="Times New Roman" w:hAnsi="Tahoma" w:cs="Tahoma"/>
          <w:color w:val="3366FF"/>
          <w:sz w:val="19"/>
          <w:szCs w:val="19"/>
          <w:lang w:val="it-IT" w:eastAsia="en-GB"/>
        </w:rPr>
        <w:t> 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es: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dorm</w:t>
      </w:r>
      <w:r w:rsidRPr="00F1233C">
        <w:rPr>
          <w:rFonts w:ascii="Tahoma" w:eastAsia="Times New Roman" w:hAnsi="Tahoma" w:cs="Tahoma"/>
          <w:i/>
          <w:iCs/>
          <w:color w:val="3366FF"/>
          <w:sz w:val="19"/>
          <w:szCs w:val="19"/>
          <w:lang w:val="it-IT" w:eastAsia="en-GB"/>
        </w:rPr>
        <w:t>ire -&gt;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dorm</w:t>
      </w:r>
      <w:r w:rsidRPr="00F1233C">
        <w:rPr>
          <w:rFonts w:ascii="Tahoma" w:eastAsia="Times New Roman" w:hAnsi="Tahoma" w:cs="Tahoma"/>
          <w:i/>
          <w:iCs/>
          <w:color w:val="3366FF"/>
          <w:sz w:val="19"/>
          <w:szCs w:val="19"/>
          <w:lang w:val="it-IT" w:eastAsia="en-GB"/>
        </w:rPr>
        <w:t>ito</w:t>
      </w:r>
    </w:p>
    <w:p w14:paraId="5CDFBC25" w14:textId="77777777" w:rsidR="00F1233C" w:rsidRPr="00F1233C" w:rsidRDefault="00F1233C" w:rsidP="00F123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Ci sono però molti participi passati </w:t>
      </w:r>
      <w:hyperlink r:id="rId5" w:history="1">
        <w:r w:rsidRPr="00F1233C">
          <w:rPr>
            <w:rFonts w:ascii="Tahoma" w:eastAsia="Times New Roman" w:hAnsi="Tahoma" w:cs="Tahoma"/>
            <w:b/>
            <w:bCs/>
            <w:color w:val="000000"/>
            <w:sz w:val="19"/>
            <w:szCs w:val="19"/>
            <w:lang w:val="it-IT" w:eastAsia="en-GB"/>
          </w:rPr>
          <w:t>irregolari</w:t>
        </w:r>
      </w:hyperlink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.</w:t>
      </w:r>
    </w:p>
    <w:p w14:paraId="0E41B4A8" w14:textId="77777777" w:rsidR="00F1233C" w:rsidRPr="00F1233C" w:rsidRDefault="00F1233C" w:rsidP="00F1233C">
      <w:pPr>
        <w:numPr>
          <w:ilvl w:val="0"/>
          <w:numId w:val="2"/>
        </w:num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proofErr w:type="spellStart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Verbi</w:t>
      </w:r>
      <w:proofErr w:type="spellEnd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con </w:t>
      </w:r>
      <w:proofErr w:type="spellStart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ausiliare</w:t>
      </w:r>
      <w:proofErr w:type="spellEnd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“</w:t>
      </w:r>
      <w:proofErr w:type="spellStart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avere</w:t>
      </w:r>
      <w:proofErr w:type="spellEnd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”:</w:t>
      </w:r>
    </w:p>
    <w:p w14:paraId="09BC4303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1) Verbi transitivi (= verbi che possono avere un oggetto).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  <w:t>Es.: </w:t>
      </w:r>
      <w:r w:rsidRPr="00F1233C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lang w:val="it-IT" w:eastAsia="en-GB"/>
        </w:rPr>
        <w:t>mangiare: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 mangiare che cosa? una mela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 (=oggetto)</w:t>
      </w:r>
    </w:p>
    <w:p w14:paraId="1663837D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2) Verbi intransitivi (= verbi che non possono avere un oggetto) che esprimono un’azione abitudinaria (= un’azione che facciamo tutti i giorni).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  <w:t>Es.: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dormire, pranzare, cenare, parlare, telefonare, studiare …</w:t>
      </w:r>
    </w:p>
    <w:p w14:paraId="02B80B23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3) Verbi intransitivi che esprimono un movimento senza destinazione.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</w:r>
      <w:r w:rsidRPr="00F1233C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Es.: </w:t>
      </w:r>
      <w:proofErr w:type="spellStart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>Correre</w:t>
      </w:r>
      <w:proofErr w:type="spellEnd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 xml:space="preserve">, </w:t>
      </w:r>
      <w:proofErr w:type="spellStart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>viaggiare</w:t>
      </w:r>
      <w:proofErr w:type="spellEnd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 xml:space="preserve">, </w:t>
      </w:r>
      <w:proofErr w:type="spellStart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>camminare</w:t>
      </w:r>
      <w:proofErr w:type="spellEnd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 xml:space="preserve">, </w:t>
      </w:r>
      <w:proofErr w:type="spellStart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>passeggiare</w:t>
      </w:r>
      <w:proofErr w:type="spellEnd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 xml:space="preserve">, </w:t>
      </w:r>
      <w:proofErr w:type="spellStart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>nuotare</w:t>
      </w:r>
      <w:proofErr w:type="spellEnd"/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en-GB"/>
        </w:rPr>
        <w:t>…</w:t>
      </w:r>
    </w:p>
    <w:tbl>
      <w:tblPr>
        <w:tblW w:w="4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249"/>
      </w:tblGrid>
      <w:tr w:rsidR="00F1233C" w:rsidRPr="00F1233C" w14:paraId="0D55B63C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8FDE15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7B774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MANGIATO</w:t>
            </w:r>
          </w:p>
        </w:tc>
      </w:tr>
      <w:tr w:rsidR="00F1233C" w:rsidRPr="00F1233C" w14:paraId="03B3C47B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CCE26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HAI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BD640B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MANGIATO</w:t>
            </w:r>
          </w:p>
        </w:tc>
      </w:tr>
      <w:tr w:rsidR="00F1233C" w:rsidRPr="00F1233C" w14:paraId="63755536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544EE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lei HA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B2124F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MANGIATO</w:t>
            </w:r>
          </w:p>
        </w:tc>
      </w:tr>
      <w:tr w:rsidR="00F1233C" w:rsidRPr="00F1233C" w14:paraId="19572260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52E3D7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ABBIAMO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B862C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MANGIATO</w:t>
            </w:r>
          </w:p>
        </w:tc>
      </w:tr>
      <w:tr w:rsidR="00F1233C" w:rsidRPr="00F1233C" w14:paraId="74C9599D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E6EED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AVETE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8260D4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MANGIATO</w:t>
            </w:r>
          </w:p>
        </w:tc>
      </w:tr>
      <w:tr w:rsidR="00F1233C" w:rsidRPr="00F1233C" w14:paraId="7493F90C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7FC981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loro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HANNO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62423E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MANGIATO</w:t>
            </w:r>
          </w:p>
        </w:tc>
      </w:tr>
    </w:tbl>
    <w:p w14:paraId="6BC627DC" w14:textId="77777777" w:rsidR="00F1233C" w:rsidRPr="00F1233C" w:rsidRDefault="00F1233C" w:rsidP="00F1233C">
      <w:pPr>
        <w:numPr>
          <w:ilvl w:val="0"/>
          <w:numId w:val="3"/>
        </w:num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</w:pPr>
      <w:proofErr w:type="spellStart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Verbi</w:t>
      </w:r>
      <w:proofErr w:type="spellEnd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con </w:t>
      </w:r>
      <w:proofErr w:type="spellStart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ausiliare</w:t>
      </w:r>
      <w:proofErr w:type="spellEnd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“</w:t>
      </w:r>
      <w:proofErr w:type="spellStart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essere</w:t>
      </w:r>
      <w:proofErr w:type="spellEnd"/>
      <w:r w:rsidRPr="00F1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”:</w:t>
      </w:r>
    </w:p>
    <w:p w14:paraId="2BF40F58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1) Verbi intransitivi (= verbi che non possono avere un oggetto).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  <w:t>Es.: </w:t>
      </w:r>
      <w:r w:rsidRPr="00F1233C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lang w:val="it-IT" w:eastAsia="en-GB"/>
        </w:rPr>
        <w:t>andare: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 andare dove? a casa 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(=non è oggetto).</w:t>
      </w:r>
    </w:p>
    <w:p w14:paraId="4CFD7683" w14:textId="0E468C09" w:rsid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2) Verbi riflessivi</w:t>
      </w: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br/>
        <w:t>Es.: </w:t>
      </w:r>
      <w:r w:rsidRPr="00F1233C">
        <w:rPr>
          <w:rFonts w:ascii="Tahoma" w:eastAsia="Times New Roman" w:hAnsi="Tahoma" w:cs="Tahoma"/>
          <w:i/>
          <w:iCs/>
          <w:color w:val="000000"/>
          <w:sz w:val="19"/>
          <w:szCs w:val="19"/>
          <w:lang w:val="it-IT" w:eastAsia="en-GB"/>
        </w:rPr>
        <w:t>divertirsi, annoiarsi, lavarsi</w:t>
      </w:r>
    </w:p>
    <w:p w14:paraId="4376E8D2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</w:p>
    <w:tbl>
      <w:tblPr>
        <w:tblW w:w="4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249"/>
      </w:tblGrid>
      <w:tr w:rsidR="00F1233C" w:rsidRPr="00F1233C" w14:paraId="5E35129C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86DBC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io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SONO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69F95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O/A</w:t>
            </w:r>
          </w:p>
        </w:tc>
      </w:tr>
      <w:tr w:rsidR="00F1233C" w:rsidRPr="00F1233C" w14:paraId="0EB85B7D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17D1B3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SEI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D4907F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O/A</w:t>
            </w:r>
          </w:p>
        </w:tc>
      </w:tr>
      <w:tr w:rsidR="00F1233C" w:rsidRPr="00F1233C" w14:paraId="014B7FB6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9A8DEB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lei È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436376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O/A</w:t>
            </w:r>
          </w:p>
        </w:tc>
      </w:tr>
      <w:tr w:rsidR="00F1233C" w:rsidRPr="00F1233C" w14:paraId="169B2D9A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6F146D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SIAMO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6F72FC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I/E</w:t>
            </w:r>
          </w:p>
        </w:tc>
      </w:tr>
      <w:tr w:rsidR="00F1233C" w:rsidRPr="00F1233C" w14:paraId="319A7FF2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130AE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SIETE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2564D8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I/E</w:t>
            </w:r>
          </w:p>
        </w:tc>
      </w:tr>
      <w:tr w:rsidR="00F1233C" w:rsidRPr="00F1233C" w14:paraId="44BCFFB0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B39B7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loro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SONO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51C9F2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I/E</w:t>
            </w:r>
          </w:p>
        </w:tc>
      </w:tr>
    </w:tbl>
    <w:p w14:paraId="21A9D450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 </w:t>
      </w:r>
    </w:p>
    <w:tbl>
      <w:tblPr>
        <w:tblW w:w="4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1"/>
        <w:gridCol w:w="2249"/>
      </w:tblGrid>
      <w:tr w:rsidR="00F1233C" w:rsidRPr="00F1233C" w14:paraId="0A4F9C94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42BE95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 SONO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96127A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DIVERTIT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O/A</w:t>
            </w:r>
          </w:p>
        </w:tc>
      </w:tr>
      <w:tr w:rsidR="00F1233C" w:rsidRPr="00F1233C" w14:paraId="6C057639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368D78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 SEI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DDF4CE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DIVERTIT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O/A</w:t>
            </w:r>
          </w:p>
        </w:tc>
      </w:tr>
      <w:tr w:rsidR="00F1233C" w:rsidRPr="00F1233C" w14:paraId="05EFE7FF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955E6C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lei SI È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541680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DIVERTIT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O/A</w:t>
            </w:r>
          </w:p>
        </w:tc>
      </w:tr>
      <w:tr w:rsidR="00F1233C" w:rsidRPr="00F1233C" w14:paraId="0ECB712F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A3DDA7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CI SIAMO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B3C77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DIVERTIT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I/E</w:t>
            </w:r>
          </w:p>
        </w:tc>
      </w:tr>
      <w:tr w:rsidR="00F1233C" w:rsidRPr="00F1233C" w14:paraId="2CC95830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C1C449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VI SIETE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3DE70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DIVERTIT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I/E</w:t>
            </w:r>
          </w:p>
        </w:tc>
      </w:tr>
      <w:tr w:rsidR="00F1233C" w:rsidRPr="00F1233C" w14:paraId="4357989D" w14:textId="77777777" w:rsidTr="00F1233C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8F9B0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loro</w:t>
            </w:r>
            <w:proofErr w:type="spellEnd"/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 SONO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F9D04" w14:textId="77777777" w:rsidR="00F1233C" w:rsidRPr="00F1233C" w:rsidRDefault="00F1233C" w:rsidP="00F1233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DIVERTIT</w:t>
            </w:r>
            <w:r w:rsidRPr="00F123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I/E</w:t>
            </w:r>
          </w:p>
        </w:tc>
      </w:tr>
    </w:tbl>
    <w:p w14:paraId="1286AA09" w14:textId="77777777" w:rsidR="00F1233C" w:rsidRPr="00F1233C" w:rsidRDefault="00F1233C" w:rsidP="00F1233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</w:pPr>
      <w:r w:rsidRPr="00F1233C">
        <w:rPr>
          <w:rFonts w:ascii="Tahoma" w:eastAsia="Times New Roman" w:hAnsi="Tahoma" w:cs="Tahoma"/>
          <w:color w:val="000000"/>
          <w:sz w:val="19"/>
          <w:szCs w:val="19"/>
          <w:lang w:val="it-IT" w:eastAsia="en-GB"/>
        </w:rPr>
        <w:t>Con l’ausiliare “essere” il participio si accorda in genere e numero con il soggetto.</w:t>
      </w:r>
    </w:p>
    <w:p w14:paraId="2E0E9520" w14:textId="77777777" w:rsidR="007B6BE0" w:rsidRPr="00F1233C" w:rsidRDefault="007B6BE0">
      <w:pPr>
        <w:rPr>
          <w:lang w:val="it-IT"/>
        </w:rPr>
      </w:pPr>
    </w:p>
    <w:sectPr w:rsidR="007B6BE0" w:rsidRPr="00F1233C" w:rsidSect="00CD0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8C6"/>
    <w:multiLevelType w:val="multilevel"/>
    <w:tmpl w:val="892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4759D"/>
    <w:multiLevelType w:val="multilevel"/>
    <w:tmpl w:val="BB0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678E0"/>
    <w:multiLevelType w:val="multilevel"/>
    <w:tmpl w:val="1C40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6A"/>
    <w:rsid w:val="007B276A"/>
    <w:rsid w:val="007B6BE0"/>
    <w:rsid w:val="008E49E5"/>
    <w:rsid w:val="00CD094D"/>
    <w:rsid w:val="00F1233C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1267"/>
  <w15:chartTrackingRefBased/>
  <w15:docId w15:val="{CDFFB7D9-1A1C-4C3F-8BCE-7F7FA05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12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olo4">
    <w:name w:val="heading 4"/>
    <w:basedOn w:val="Normale"/>
    <w:link w:val="Titolo4Carattere"/>
    <w:uiPriority w:val="9"/>
    <w:qFormat/>
    <w:rsid w:val="00F1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23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1233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F1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F1233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1233C"/>
    <w:rPr>
      <w:b/>
      <w:bCs/>
    </w:rPr>
  </w:style>
  <w:style w:type="character" w:styleId="Enfasicorsivo">
    <w:name w:val="Emphasis"/>
    <w:basedOn w:val="Carpredefinitoparagrafo"/>
    <w:uiPriority w:val="20"/>
    <w:qFormat/>
    <w:rsid w:val="00F12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gblog.it/2011/11/15/40-participi-passati-irrego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La Malfa</dc:creator>
  <cp:keywords/>
  <dc:description/>
  <cp:lastModifiedBy>Riccardo</cp:lastModifiedBy>
  <cp:revision>2</cp:revision>
  <dcterms:created xsi:type="dcterms:W3CDTF">2020-05-11T14:32:00Z</dcterms:created>
  <dcterms:modified xsi:type="dcterms:W3CDTF">2020-05-11T14:36:00Z</dcterms:modified>
</cp:coreProperties>
</file>